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Vetlanda kommunfullmäktige</w:t>
      </w:r>
    </w:p>
    <w:p>
      <w:pPr>
        <w:pStyle w:val="Heading1"/>
      </w:pPr>
      <w:r>
        <w:t xml:space="preserve">Utökad vuxenutbildning i svenska och yrkeskurser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Vetlanda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35 procent av utrikes födda har gymnasieutbildning (SCB). Brist på yrkesutbildning hämmar rekrytering till industrin.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Vetlanda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vuxenutbildningen med 40 platser i svenska och yrkeskurser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samarbeta med näringslivet om efterfrågade utbildningar.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2 mnkr för utökad verksamhet.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genomströmning och sysselsättning.</w:t>
      </w:r>
    </w:p>
    <w:p>
      <w:pPr>
        <w:spacing w:before="360"/>
      </w:pPr>
    </w:p>
    <w:p>
      <w:r>
        <w:t xml:space="preserve">Vetlanda,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Vetlanda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2026-07-14T05:36:54.827Z</dcterms:created>
  <dcterms:modified xsi:type="dcterms:W3CDTF">2026-07-14T05:36:54.827Z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